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4F" w:rsidRPr="005C0A69" w:rsidRDefault="00F25F4F" w:rsidP="00F25F4F">
      <w:pPr>
        <w:spacing w:line="360" w:lineRule="auto"/>
        <w:ind w:firstLine="567"/>
        <w:contextualSpacing/>
        <w:jc w:val="both"/>
        <w:outlineLvl w:val="1"/>
        <w:rPr>
          <w:b/>
          <w:sz w:val="28"/>
          <w:szCs w:val="28"/>
        </w:rPr>
      </w:pPr>
      <w:proofErr w:type="spellStart"/>
      <w:r w:rsidRPr="005C0A69">
        <w:rPr>
          <w:b/>
          <w:sz w:val="28"/>
          <w:szCs w:val="28"/>
        </w:rPr>
        <w:t>Dutchak</w:t>
      </w:r>
      <w:proofErr w:type="spellEnd"/>
      <w:r w:rsidRPr="005C0A69">
        <w:rPr>
          <w:b/>
          <w:sz w:val="28"/>
          <w:szCs w:val="28"/>
        </w:rPr>
        <w:t xml:space="preserve"> S. </w:t>
      </w:r>
      <w:r w:rsidRPr="005C0A69">
        <w:rPr>
          <w:b/>
          <w:color w:val="212121"/>
          <w:sz w:val="28"/>
          <w:szCs w:val="28"/>
          <w:lang w:eastAsia="uk-UA"/>
        </w:rPr>
        <w:t>Special Aspects of Criminal-legal Policy in the Field of Ensuring the Protection of Patient’s Rights</w:t>
      </w:r>
    </w:p>
    <w:p w:rsidR="00F25F4F" w:rsidRPr="005C0A69" w:rsidRDefault="00F25F4F" w:rsidP="00F25F4F">
      <w:pPr>
        <w:pStyle w:val="HTML"/>
        <w:shd w:val="clear" w:color="auto" w:fill="FFFFFF"/>
        <w:spacing w:line="360" w:lineRule="auto"/>
        <w:ind w:firstLine="567"/>
        <w:jc w:val="both"/>
        <w:rPr>
          <w:rFonts w:ascii="Times New Roman" w:hAnsi="Times New Roman" w:cs="Times New Roman"/>
          <w:color w:val="212121"/>
          <w:sz w:val="28"/>
          <w:szCs w:val="28"/>
          <w:lang w:val="en-US"/>
        </w:rPr>
      </w:pPr>
    </w:p>
    <w:p w:rsidR="00F25F4F" w:rsidRPr="005C0A69" w:rsidRDefault="00F25F4F" w:rsidP="00F25F4F">
      <w:pPr>
        <w:pStyle w:val="HTML"/>
        <w:shd w:val="clear" w:color="auto" w:fill="FFFFFF"/>
        <w:spacing w:line="360" w:lineRule="auto"/>
        <w:ind w:firstLine="567"/>
        <w:jc w:val="both"/>
        <w:rPr>
          <w:rFonts w:ascii="Times New Roman" w:hAnsi="Times New Roman" w:cs="Times New Roman"/>
          <w:color w:val="212121"/>
          <w:sz w:val="28"/>
          <w:szCs w:val="28"/>
          <w:lang w:val="en-US"/>
        </w:rPr>
      </w:pPr>
      <w:r w:rsidRPr="005C0A69">
        <w:rPr>
          <w:rFonts w:ascii="Times New Roman" w:hAnsi="Times New Roman" w:cs="Times New Roman"/>
          <w:color w:val="212121"/>
          <w:sz w:val="28"/>
          <w:szCs w:val="28"/>
          <w:lang w:val="en-US"/>
        </w:rPr>
        <w:t xml:space="preserve">The article focuses on a complex analysis of the patient’s rights protection in Ukraine in the criminal-legal aspect. The author pays attention to the notion and meaning of criminal-legal protection of patient’s rights in Ukraine which is defined as a scientifically grounded system of complex measures of criminal-legal policy and material criminal law aiming at timely criminalization and criminal prosecution of persons guilty in committing offences that contain features of the violation of patient’s rights. </w:t>
      </w:r>
    </w:p>
    <w:p w:rsidR="00F25F4F" w:rsidRPr="005C0A69" w:rsidRDefault="00F25F4F" w:rsidP="00F25F4F">
      <w:pPr>
        <w:spacing w:line="360" w:lineRule="auto"/>
        <w:ind w:firstLine="567"/>
        <w:jc w:val="both"/>
        <w:rPr>
          <w:sz w:val="28"/>
          <w:szCs w:val="28"/>
        </w:rPr>
      </w:pPr>
      <w:r w:rsidRPr="005C0A69">
        <w:rPr>
          <w:sz w:val="28"/>
          <w:szCs w:val="28"/>
        </w:rPr>
        <w:t xml:space="preserve">The author provides a theoretical analysis of the topic, its legislative regulation, and law-enforcement practice. As a result of the mentioned analysis, some important for criminal law science suggestions, new provisions, and conclusions are formulated. </w:t>
      </w:r>
    </w:p>
    <w:p w:rsidR="00F25F4F" w:rsidRPr="005C0A69" w:rsidRDefault="00F25F4F" w:rsidP="00F25F4F">
      <w:pPr>
        <w:pStyle w:val="HTML"/>
        <w:shd w:val="clear" w:color="auto" w:fill="FFFFFF"/>
        <w:spacing w:line="360" w:lineRule="auto"/>
        <w:ind w:firstLine="567"/>
        <w:jc w:val="both"/>
        <w:rPr>
          <w:rFonts w:ascii="Times New Roman" w:hAnsi="Times New Roman" w:cs="Times New Roman"/>
          <w:color w:val="212121"/>
          <w:sz w:val="28"/>
          <w:szCs w:val="28"/>
          <w:lang w:val="en-US"/>
        </w:rPr>
      </w:pPr>
      <w:r w:rsidRPr="005C0A69">
        <w:rPr>
          <w:rFonts w:ascii="Times New Roman" w:hAnsi="Times New Roman" w:cs="Times New Roman"/>
          <w:color w:val="212121"/>
          <w:sz w:val="28"/>
          <w:szCs w:val="28"/>
          <w:lang w:val="en-US"/>
        </w:rPr>
        <w:t xml:space="preserve">In this article, the author investigates the methodological basis for the criminal-legal protection of patient’s rights. The historical model of the criminal responsibility of a doctor for harm to a patient, e.g. life ban on the medical activity, is uncovered. The object of the criminal-legal protection of patient’s rights is defined. </w:t>
      </w:r>
    </w:p>
    <w:p w:rsidR="00F25F4F" w:rsidRPr="005C0A69" w:rsidRDefault="00F25F4F" w:rsidP="00F25F4F">
      <w:pPr>
        <w:pStyle w:val="HTML"/>
        <w:shd w:val="clear" w:color="auto" w:fill="FFFFFF"/>
        <w:spacing w:line="360" w:lineRule="auto"/>
        <w:ind w:firstLine="567"/>
        <w:jc w:val="both"/>
        <w:rPr>
          <w:rFonts w:ascii="Times New Roman" w:hAnsi="Times New Roman" w:cs="Times New Roman"/>
          <w:color w:val="212121"/>
          <w:sz w:val="28"/>
          <w:szCs w:val="28"/>
          <w:lang w:val="en-US"/>
        </w:rPr>
      </w:pPr>
      <w:r w:rsidRPr="005C0A69">
        <w:rPr>
          <w:rFonts w:ascii="Times New Roman" w:hAnsi="Times New Roman" w:cs="Times New Roman"/>
          <w:color w:val="212121"/>
          <w:sz w:val="28"/>
          <w:szCs w:val="28"/>
          <w:lang w:val="en-US"/>
        </w:rPr>
        <w:t>The criminal-legal characteristic of a crime is given. Grounding on the research, the author suggests implementing a single crime of a violation of patient’s rights instead of all other crimes that describe different kinds of violation of patient’s rights with regard to the objective aspect (</w:t>
      </w:r>
      <w:proofErr w:type="spellStart"/>
      <w:r w:rsidRPr="005C0A69">
        <w:rPr>
          <w:rFonts w:ascii="Times New Roman" w:hAnsi="Times New Roman" w:cs="Times New Roman"/>
          <w:color w:val="212121"/>
          <w:sz w:val="28"/>
          <w:szCs w:val="28"/>
          <w:lang w:val="en-US"/>
        </w:rPr>
        <w:t>actus</w:t>
      </w:r>
      <w:proofErr w:type="spellEnd"/>
      <w:r w:rsidRPr="005C0A69">
        <w:rPr>
          <w:rFonts w:ascii="Times New Roman" w:hAnsi="Times New Roman" w:cs="Times New Roman"/>
          <w:color w:val="212121"/>
          <w:sz w:val="28"/>
          <w:szCs w:val="28"/>
          <w:lang w:val="en-US"/>
        </w:rPr>
        <w:t xml:space="preserve"> </w:t>
      </w:r>
      <w:proofErr w:type="spellStart"/>
      <w:r w:rsidRPr="005C0A69">
        <w:rPr>
          <w:rFonts w:ascii="Times New Roman" w:hAnsi="Times New Roman" w:cs="Times New Roman"/>
          <w:color w:val="212121"/>
          <w:sz w:val="28"/>
          <w:szCs w:val="28"/>
          <w:lang w:val="en-US"/>
        </w:rPr>
        <w:t>reus</w:t>
      </w:r>
      <w:proofErr w:type="spellEnd"/>
      <w:r w:rsidRPr="005C0A69">
        <w:rPr>
          <w:rFonts w:ascii="Times New Roman" w:hAnsi="Times New Roman" w:cs="Times New Roman"/>
          <w:color w:val="212121"/>
          <w:sz w:val="28"/>
          <w:szCs w:val="28"/>
          <w:lang w:val="en-US"/>
        </w:rPr>
        <w:t xml:space="preserve">) of a crime. </w:t>
      </w:r>
    </w:p>
    <w:p w:rsidR="00F25F4F" w:rsidRPr="005C0A69" w:rsidRDefault="00F25F4F" w:rsidP="00F25F4F">
      <w:pPr>
        <w:pStyle w:val="HTML"/>
        <w:shd w:val="clear" w:color="auto" w:fill="FFFFFF"/>
        <w:spacing w:line="360" w:lineRule="auto"/>
        <w:ind w:firstLine="567"/>
        <w:jc w:val="both"/>
        <w:rPr>
          <w:rFonts w:ascii="Times New Roman" w:hAnsi="Times New Roman" w:cs="Times New Roman"/>
          <w:color w:val="212121"/>
          <w:sz w:val="28"/>
          <w:szCs w:val="28"/>
          <w:lang w:val="en-US"/>
        </w:rPr>
      </w:pPr>
      <w:r w:rsidRPr="005C0A69">
        <w:rPr>
          <w:rFonts w:ascii="Times New Roman" w:hAnsi="Times New Roman" w:cs="Times New Roman"/>
          <w:color w:val="212121"/>
          <w:sz w:val="28"/>
          <w:szCs w:val="28"/>
          <w:lang w:val="en-US"/>
        </w:rPr>
        <w:t xml:space="preserve">High attention is paid to the analysis of political-legal measures. The list of practical recommendations for the upgrading and improvement of the effectiveness of the system of criminal-legal protection of patient’s rights in Ukraine is suggested. The main goal of the criminal-legal policy in the sphere of countering violation of patient’s rights is determined as an increase of the level of social trust of people to the state. The main directions of the criminal-legal policy in the sphere of countering violation of patient’s rights are suggested. The author formulates two </w:t>
      </w:r>
      <w:r w:rsidRPr="005C0A69">
        <w:rPr>
          <w:rFonts w:ascii="Times New Roman" w:hAnsi="Times New Roman" w:cs="Times New Roman"/>
          <w:color w:val="212121"/>
          <w:sz w:val="28"/>
          <w:szCs w:val="28"/>
          <w:lang w:val="en-US"/>
        </w:rPr>
        <w:lastRenderedPageBreak/>
        <w:t xml:space="preserve">practical ways for improvement of criminal-legal protection of patients’ rights, which are the following:  executive (regarding the improvement of the current provisions of Article 141 of the Criminal Code of Ukraine) and perspective (oriented on the principle of repression saving and humanization of the penalty according to the Criminal Justice Reform in Ukraine).  </w:t>
      </w:r>
    </w:p>
    <w:p w:rsidR="00F25F4F" w:rsidRPr="005C0A69" w:rsidRDefault="00F25F4F" w:rsidP="00F25F4F">
      <w:pPr>
        <w:pStyle w:val="HTML"/>
        <w:shd w:val="clear" w:color="auto" w:fill="FFFFFF"/>
        <w:spacing w:line="360" w:lineRule="auto"/>
        <w:ind w:firstLine="567"/>
        <w:jc w:val="both"/>
        <w:rPr>
          <w:rFonts w:ascii="Times New Roman" w:hAnsi="Times New Roman" w:cs="Times New Roman"/>
          <w:i/>
          <w:color w:val="212121"/>
          <w:sz w:val="28"/>
          <w:szCs w:val="28"/>
          <w:lang w:val="en-US"/>
        </w:rPr>
      </w:pPr>
      <w:r w:rsidRPr="005C0A69">
        <w:rPr>
          <w:rFonts w:ascii="Times New Roman" w:hAnsi="Times New Roman" w:cs="Times New Roman"/>
          <w:b/>
          <w:i/>
          <w:sz w:val="28"/>
          <w:szCs w:val="28"/>
          <w:lang w:val="en-US"/>
        </w:rPr>
        <w:t>Keywords:</w:t>
      </w:r>
      <w:r w:rsidRPr="005C0A69">
        <w:rPr>
          <w:rFonts w:ascii="Times New Roman" w:hAnsi="Times New Roman" w:cs="Times New Roman"/>
          <w:i/>
          <w:sz w:val="28"/>
          <w:szCs w:val="28"/>
          <w:lang w:val="en-US"/>
        </w:rPr>
        <w:t xml:space="preserve"> Criminal-legal Policy</w:t>
      </w:r>
      <w:r w:rsidRPr="005C0A69">
        <w:rPr>
          <w:rFonts w:ascii="Times New Roman" w:hAnsi="Times New Roman" w:cs="Times New Roman"/>
          <w:i/>
          <w:color w:val="212121"/>
          <w:sz w:val="28"/>
          <w:szCs w:val="28"/>
          <w:lang w:val="en-US"/>
        </w:rPr>
        <w:t>;</w:t>
      </w:r>
      <w:r w:rsidRPr="005C0A69">
        <w:rPr>
          <w:rFonts w:ascii="Times New Roman" w:hAnsi="Times New Roman" w:cs="Times New Roman"/>
          <w:i/>
          <w:sz w:val="28"/>
          <w:szCs w:val="28"/>
          <w:lang w:val="en-US"/>
        </w:rPr>
        <w:t xml:space="preserve"> </w:t>
      </w:r>
      <w:r w:rsidRPr="005C0A69">
        <w:rPr>
          <w:rFonts w:ascii="Times New Roman" w:hAnsi="Times New Roman" w:cs="Times New Roman"/>
          <w:i/>
          <w:color w:val="212121"/>
          <w:sz w:val="28"/>
          <w:szCs w:val="28"/>
          <w:lang w:val="en-US"/>
        </w:rPr>
        <w:t>Effectiveness of</w:t>
      </w:r>
      <w:r w:rsidRPr="005C0A69">
        <w:rPr>
          <w:rFonts w:ascii="Times New Roman" w:hAnsi="Times New Roman" w:cs="Times New Roman"/>
          <w:i/>
          <w:sz w:val="28"/>
          <w:szCs w:val="28"/>
          <w:lang w:val="en-US"/>
        </w:rPr>
        <w:t xml:space="preserve"> Criminal-legal Policy</w:t>
      </w:r>
      <w:r w:rsidRPr="005C0A69">
        <w:rPr>
          <w:rFonts w:ascii="Times New Roman" w:hAnsi="Times New Roman" w:cs="Times New Roman"/>
          <w:i/>
          <w:color w:val="212121"/>
          <w:sz w:val="28"/>
          <w:szCs w:val="28"/>
          <w:lang w:val="en-US"/>
        </w:rPr>
        <w:t xml:space="preserve">; </w:t>
      </w:r>
      <w:r w:rsidRPr="005C0A69">
        <w:rPr>
          <w:rFonts w:ascii="Times New Roman" w:hAnsi="Times New Roman" w:cs="Times New Roman"/>
          <w:i/>
          <w:sz w:val="28"/>
          <w:szCs w:val="28"/>
          <w:lang w:val="en-US"/>
        </w:rPr>
        <w:t>Criminally-Legal Provision</w:t>
      </w:r>
      <w:r w:rsidRPr="005C0A69">
        <w:rPr>
          <w:rFonts w:ascii="Times New Roman" w:hAnsi="Times New Roman" w:cs="Times New Roman"/>
          <w:i/>
          <w:color w:val="212121"/>
          <w:sz w:val="28"/>
          <w:szCs w:val="28"/>
          <w:lang w:val="en-US"/>
        </w:rPr>
        <w:t>; Criminal-legal Regulation; Criminal-legal Enforcement; The Effectiveness of Law, Violation of Patients’ Rights; Medical Commissions</w:t>
      </w:r>
    </w:p>
    <w:p w:rsidR="00347132" w:rsidRDefault="00347132"/>
    <w:sectPr w:rsidR="00347132" w:rsidSect="00347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25F4F"/>
    <w:rsid w:val="00347132"/>
    <w:rsid w:val="00F25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F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2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F25F4F"/>
    <w:rPr>
      <w:rFonts w:ascii="Courier New" w:eastAsia="Times New Roman" w:hAnsi="Courier New" w:cs="Courier New"/>
      <w:sz w:val="20"/>
      <w:szCs w:val="20"/>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2019-02-21T14:25:00Z</dcterms:created>
  <dcterms:modified xsi:type="dcterms:W3CDTF">2019-02-21T14:26:00Z</dcterms:modified>
</cp:coreProperties>
</file>